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054" w:rsidRPr="00FF4054" w:rsidRDefault="00FF4054" w:rsidP="00FF4054">
      <w:pPr>
        <w:ind w:left="360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FF4054">
        <w:rPr>
          <w:rFonts w:ascii="Arial" w:hAnsi="Arial" w:cs="Arial"/>
          <w:color w:val="000000"/>
          <w:sz w:val="21"/>
          <w:szCs w:val="21"/>
          <w:shd w:val="clear" w:color="auto" w:fill="FFFFFF"/>
        </w:rPr>
        <w:t>Социальный вычет по НДФЛ в размере стоимости лекарств</w:t>
      </w:r>
    </w:p>
    <w:p w:rsidR="00FF4054" w:rsidRDefault="00FF4054" w:rsidP="00FF4054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Физлица – налогоплательщики могут получить социальный вычет по НДФЛ в размере стоимости лекарств, которые были назначены им лечащим врачом и приобретены за счет собственных средств. Вычет распространяется также на приобретение лека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рств дл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я их супругов, родителей, детей и подопечных в возрасте до 18 лет.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Для получения социального налогового вычета налогоплательщик может представить любые документы, оформленные в соответствии с российским законодательством и подтверждающие приобретение им назначенных препаратов. Например, это может быть бумажный рецептурный бланк либо сведения из медкарты или иной медицинской документации пациента. К ним следует приложить чек из аптеки, отпустившей лекарство.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ФНС напоминает, что исчерпывающий перечень медицинских документов и порядка их заполнения утвержден приказом Минздрава России от 15 декабре 2014 г. № 834н (Информация ФНС России от 17 января 2025 года)</w:t>
      </w:r>
    </w:p>
    <w:p w:rsidR="00D30A2B" w:rsidRDefault="00FF4054" w:rsidP="00FF4054">
      <w:pPr>
        <w:tabs>
          <w:tab w:val="left" w:pos="5260"/>
        </w:tabs>
      </w:pPr>
      <w:r>
        <w:tab/>
        <w:t>24.01.2025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F6C"/>
    <w:rsid w:val="00012F6C"/>
    <w:rsid w:val="00D30A2B"/>
    <w:rsid w:val="00FF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0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40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0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40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2025-05-23T09:52:00Z</dcterms:created>
  <dcterms:modified xsi:type="dcterms:W3CDTF">2025-05-23T09:52:00Z</dcterms:modified>
</cp:coreProperties>
</file>