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AC" w:rsidRDefault="002F5DAC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F5DAC" w:rsidRDefault="002F5DAC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2F5DAC" w:rsidRDefault="002F5DAC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«Селиловичское сельское поселение» за 2014 год.</w:t>
      </w:r>
    </w:p>
    <w:p w:rsidR="002F5DAC" w:rsidRDefault="002F5DA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DAC" w:rsidRDefault="002F5DA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22 апреля 2015 года</w:t>
      </w:r>
    </w:p>
    <w:p w:rsidR="002F5DAC" w:rsidRDefault="002F5DA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DAC" w:rsidRDefault="002F5DA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DAC" w:rsidRDefault="002F5DAC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3.7.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36.</w:t>
      </w:r>
    </w:p>
    <w:p w:rsidR="002F5DAC" w:rsidRDefault="002F5DAC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«Селиловичское сельское поселение» за 2014 год.  </w:t>
      </w:r>
    </w:p>
    <w:p w:rsidR="002F5DAC" w:rsidRDefault="002F5DAC" w:rsidP="00077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мероприятия:</w:t>
      </w:r>
    </w:p>
    <w:p w:rsidR="002F5DAC" w:rsidRDefault="002F5DAC" w:rsidP="00077C5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16 апреля 2015 года по 22 апреля 2015 года.</w:t>
      </w:r>
    </w:p>
    <w:p w:rsidR="002F5DAC" w:rsidRDefault="002F5DAC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F5DAC" w:rsidRDefault="002F5DAC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«Селиловичское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района». </w:t>
      </w:r>
    </w:p>
    <w:p w:rsidR="002F5DAC" w:rsidRDefault="002F5DAC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«Селиловичское сельское поселение»  </w:t>
      </w:r>
      <w:r>
        <w:rPr>
          <w:color w:val="000000"/>
          <w:szCs w:val="28"/>
        </w:rPr>
        <w:t>об исполнении бюджета  за 2014 год представлена до  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Селиловичского сельского Совета народных депутатов от 22</w:t>
      </w:r>
      <w:r w:rsidRPr="00527A6C">
        <w:rPr>
          <w:szCs w:val="28"/>
        </w:rPr>
        <w:t>.12.200</w:t>
      </w:r>
      <w:r>
        <w:rPr>
          <w:szCs w:val="28"/>
        </w:rPr>
        <w:t>5 г.</w:t>
      </w:r>
      <w:r w:rsidRPr="00527A6C">
        <w:rPr>
          <w:szCs w:val="28"/>
        </w:rPr>
        <w:t xml:space="preserve"> </w:t>
      </w:r>
    </w:p>
    <w:p w:rsidR="002F5DAC" w:rsidRDefault="002F5DAC" w:rsidP="00077C51">
      <w:pPr>
        <w:pStyle w:val="BodyText"/>
        <w:widowControl w:val="0"/>
        <w:ind w:firstLine="720"/>
        <w:jc w:val="both"/>
        <w:rPr>
          <w:szCs w:val="28"/>
        </w:rPr>
      </w:pPr>
      <w:r w:rsidRPr="00527A6C">
        <w:rPr>
          <w:szCs w:val="28"/>
        </w:rPr>
        <w:t>№</w:t>
      </w:r>
      <w:r>
        <w:rPr>
          <w:szCs w:val="28"/>
        </w:rPr>
        <w:t xml:space="preserve"> 1-29  «Об утверждении Положения о бюджетном процессе в муниципальном образовании «Селиловичское сельское поселение». </w:t>
      </w:r>
    </w:p>
    <w:p w:rsidR="002F5DAC" w:rsidRDefault="002F5DAC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«Селиловичское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2F5DAC" w:rsidRDefault="002F5DAC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Характеристика основных показателей исполнения бюджета муниципального образования «Селиловичское сельское поселение»: доходов, расходов, дефицита (профицита) бюджета.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Селиловичского сельского Совета народных депутатов от 25</w:t>
      </w:r>
      <w:r w:rsidRPr="00B2360F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2-159 «О бюджете муниципального образования «Селиловичского сельского поселения» на 2014 год и на плановый период 2015 и 2016 годов» по доходам в объеме 1856,4 тыс. рублей, по расходам – 1856,4  тыс. рублей, сбалансированным.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 раз вносились изменения.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2014 год в окончательной редакции от 30.12.2014 года № 2-28, утвержден по доходам в объеме  2648,0 тыс. рублей, по расходам в объеме  2648,0 тыс. рублей, сбалансированным.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791,6 тыс. рублей, или  42,6 %, расходы – на  791,6 тыс. рублей, или  42,6 % 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 2679,9 тыс. рублей, или 101,2 % плановых назначений отчетного периода. К уровню 2013 года доходы увеличились  на  503,4 тыс. рублей, темп роста составил 123,1   процента.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 2630,7  тыс. рублей, плановые назначения исполнены на 99,3 процентов. К уровню 2013 года расходы увеличились на  434,7  тыс. рублей, темп роста составил  119,7  процента.</w:t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0,0 тыс. рублей, фактически  сложился профицит в объеме  49,2 тыс. рублей. </w:t>
      </w: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F5DAC" w:rsidRPr="0024095F" w:rsidRDefault="002F5DAC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95F">
        <w:rPr>
          <w:rFonts w:ascii="Times New Roman" w:hAnsi="Times New Roman"/>
          <w:b/>
          <w:sz w:val="28"/>
          <w:szCs w:val="28"/>
        </w:rPr>
        <w:t>Анализ исполнения доходов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«Селиловичское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Селиловичского сельского  Совета народных депутатов от 25</w:t>
      </w:r>
      <w:r w:rsidRPr="00A4023B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 xml:space="preserve"> 2-159 «О бюджете муниципального образования «Селиловичское сельское поселение» на 2014 год и на плановый период 2015 и 2016 годов доходы бюджета на 2014 годы были утверждены в сумме  1856,4 тыс. рублей.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Селиловичского сельского Совета народных депутатов от 26.02.2014 № 2-167,  от 28</w:t>
      </w:r>
      <w:r w:rsidRPr="00A402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4023B">
        <w:rPr>
          <w:rFonts w:ascii="Times New Roman" w:hAnsi="Times New Roman"/>
          <w:sz w:val="28"/>
          <w:szCs w:val="28"/>
        </w:rPr>
        <w:t>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2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-168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30.04.2014 № 2-171, от </w:t>
      </w:r>
      <w:r>
        <w:rPr>
          <w:rFonts w:ascii="Times New Roman" w:hAnsi="Times New Roman"/>
          <w:bCs/>
          <w:sz w:val="28"/>
          <w:szCs w:val="28"/>
        </w:rPr>
        <w:t xml:space="preserve">30.05.2014 № 2-172,  от 30.06.2014 № 2-173,  от 31.07.2014 № 2-176, от 29.08.2014 № 2-178 , от 30.09.2014 № 2-181, от 30.10.2014 № 3-15, от 28.11.2014 № 3-23,   от 30.12.2014 № 2-28  «О внесении изменений и дополнений в решение Селиловичского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«Селиловичское сельское поселение» на 2014 год и на плановый период 2015 и 2016 годов» были внесены изменения, первоначально утвержденные параметры доходной части бюджета увеличены на сумму 791,6 тыс. рублей, и составили    2648,0 тыс. рублей.</w:t>
      </w:r>
    </w:p>
    <w:p w:rsidR="002F5DAC" w:rsidRDefault="002F5DAC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Увеличение, в основном, связано с ростом безвозмездных поступлений на 218,2 тыс. рублей. 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муниципального образования «Селиловичское сельское поселение»  исполнена в сумме   2679,9 тыс. рублей, что составило  101,2 % к первоначально утвержденным плановым назначениям.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Сверх плана в бюджет муниципального образования «Селиловичское сельское поселение» поступило  31,9  тыс. рублей. Темп роста к уровню 2013 года составил   процента. Перевыполнение плановых назначений в основном обусловлено ростом  собственных доходов.. </w: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«Селиловичское сельское поселение» за 2010 - 2014 годы представлена в таблице</w: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2F5DAC" w:rsidRPr="00ED7B71" w:rsidTr="00ED7B71">
        <w:trPr>
          <w:trHeight w:val="240"/>
        </w:trPr>
        <w:tc>
          <w:tcPr>
            <w:tcW w:w="1308" w:type="dxa"/>
            <w:vMerge w:val="restart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2F5DAC" w:rsidRPr="00ED7B71" w:rsidTr="00ED7B71">
        <w:trPr>
          <w:trHeight w:val="200"/>
        </w:trPr>
        <w:tc>
          <w:tcPr>
            <w:tcW w:w="1308" w:type="dxa"/>
            <w:vMerge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2F5DAC" w:rsidRPr="00ED7B71" w:rsidTr="00ED7B71">
        <w:tc>
          <w:tcPr>
            <w:tcW w:w="1308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1799,9</w:t>
            </w:r>
          </w:p>
        </w:tc>
        <w:tc>
          <w:tcPr>
            <w:tcW w:w="96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2176,2</w:t>
            </w:r>
          </w:p>
        </w:tc>
        <w:tc>
          <w:tcPr>
            <w:tcW w:w="85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</w:t>
            </w:r>
          </w:p>
        </w:tc>
        <w:tc>
          <w:tcPr>
            <w:tcW w:w="1070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2525,9</w:t>
            </w:r>
          </w:p>
        </w:tc>
        <w:tc>
          <w:tcPr>
            <w:tcW w:w="74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9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2176,5</w:t>
            </w:r>
          </w:p>
        </w:tc>
        <w:tc>
          <w:tcPr>
            <w:tcW w:w="66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2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2679,9</w:t>
            </w:r>
          </w:p>
        </w:tc>
        <w:tc>
          <w:tcPr>
            <w:tcW w:w="673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123,1</w:t>
            </w:r>
          </w:p>
        </w:tc>
      </w:tr>
      <w:tr w:rsidR="002F5DAC" w:rsidRPr="00ED7B71" w:rsidTr="00ED7B71">
        <w:tc>
          <w:tcPr>
            <w:tcW w:w="1308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  <w:tc>
          <w:tcPr>
            <w:tcW w:w="96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85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70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348,1</w:t>
            </w:r>
          </w:p>
        </w:tc>
        <w:tc>
          <w:tcPr>
            <w:tcW w:w="74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  <w:tc>
          <w:tcPr>
            <w:tcW w:w="9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66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2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1392,5</w:t>
            </w:r>
          </w:p>
        </w:tc>
        <w:tc>
          <w:tcPr>
            <w:tcW w:w="673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 р</w:t>
            </w:r>
          </w:p>
        </w:tc>
      </w:tr>
      <w:tr w:rsidR="002F5DAC" w:rsidRPr="00ED7B71" w:rsidTr="00ED7B71">
        <w:tc>
          <w:tcPr>
            <w:tcW w:w="1308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256,1</w:t>
            </w:r>
          </w:p>
        </w:tc>
        <w:tc>
          <w:tcPr>
            <w:tcW w:w="96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221,9</w:t>
            </w:r>
          </w:p>
        </w:tc>
        <w:tc>
          <w:tcPr>
            <w:tcW w:w="85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070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345,5</w:t>
            </w:r>
          </w:p>
        </w:tc>
        <w:tc>
          <w:tcPr>
            <w:tcW w:w="74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155,7</w:t>
            </w:r>
          </w:p>
        </w:tc>
        <w:tc>
          <w:tcPr>
            <w:tcW w:w="9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349,2</w:t>
            </w:r>
          </w:p>
        </w:tc>
        <w:tc>
          <w:tcPr>
            <w:tcW w:w="66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1311,2</w:t>
            </w:r>
          </w:p>
        </w:tc>
        <w:tc>
          <w:tcPr>
            <w:tcW w:w="673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 р</w:t>
            </w:r>
          </w:p>
        </w:tc>
      </w:tr>
      <w:tr w:rsidR="002F5DAC" w:rsidRPr="00ED7B71" w:rsidTr="00ED7B71">
        <w:tc>
          <w:tcPr>
            <w:tcW w:w="1308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70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4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66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 р</w:t>
            </w:r>
          </w:p>
        </w:tc>
        <w:tc>
          <w:tcPr>
            <w:tcW w:w="992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673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</w:tr>
      <w:tr w:rsidR="002F5DAC" w:rsidRPr="00ED7B71" w:rsidTr="00ED7B71">
        <w:tc>
          <w:tcPr>
            <w:tcW w:w="1308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1543,4</w:t>
            </w:r>
          </w:p>
        </w:tc>
        <w:tc>
          <w:tcPr>
            <w:tcW w:w="96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1954,2</w:t>
            </w:r>
          </w:p>
        </w:tc>
        <w:tc>
          <w:tcPr>
            <w:tcW w:w="85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126,6</w:t>
            </w:r>
          </w:p>
        </w:tc>
        <w:tc>
          <w:tcPr>
            <w:tcW w:w="1070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2177,8</w:t>
            </w:r>
          </w:p>
        </w:tc>
        <w:tc>
          <w:tcPr>
            <w:tcW w:w="74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</w:t>
            </w:r>
          </w:p>
        </w:tc>
        <w:tc>
          <w:tcPr>
            <w:tcW w:w="9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1794,6</w:t>
            </w:r>
          </w:p>
        </w:tc>
        <w:tc>
          <w:tcPr>
            <w:tcW w:w="66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2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1287,4</w:t>
            </w:r>
          </w:p>
        </w:tc>
        <w:tc>
          <w:tcPr>
            <w:tcW w:w="673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</w:tbl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«Селиловичское сельское поселение» по отношению к уровню предыдущего отчетного периода увеличилось на 23,1 процента. Увеличение сложилось в основном за счет собственных доходов. Собственные доходы по сравнению с уровнем 2013 года увеличились в 3,6 раза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1392,5  тыс. рублей, или 102,3 % плановых назначений..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«Селиловичское сельское поселение» показал, что удельный вес собственных доходов в 2014 году составил 48,9 %, что выше уровня прошлого года на 32,8 процентных пункта.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«Селиловичское сельское поселение» за 2010 - 2014 годы приведена в таблице.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2F5DAC" w:rsidRPr="00ED7B71" w:rsidTr="00ED7B71"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2F5DAC" w:rsidRPr="00ED7B71" w:rsidTr="00ED7B71"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всего,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</w:tr>
      <w:tr w:rsidR="002F5DAC" w:rsidRPr="00ED7B71" w:rsidTr="00ED7B71"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5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2F5DAC" w:rsidRPr="00ED7B71" w:rsidTr="00ED7B71"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5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</w:tr>
      <w:tr w:rsidR="002F5DAC" w:rsidRPr="00ED7B71" w:rsidTr="00ED7B71"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2F5DAC" w:rsidRPr="00ED7B71" w:rsidTr="00ED7B71">
        <w:tc>
          <w:tcPr>
            <w:tcW w:w="1595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59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1596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</w:tr>
    </w:tbl>
    <w:p w:rsidR="002F5DAC" w:rsidRDefault="002F5DAC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2014 году доли собственных доходов и уменьшении доли безвозмездных поступлений из областного бюджета 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«Селиловичское сельское поселение» представлена на диаграмме.</w:t>
      </w:r>
      <w:r w:rsidRPr="005D6A94">
        <w:rPr>
          <w:noProof/>
          <w:lang w:eastAsia="ru-RU"/>
        </w:rPr>
        <w:object w:dxaOrig="8019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2.75pt" o:ole="">
            <v:imagedata r:id="rId7" o:title=""/>
            <o:lock v:ext="edit" aspectratio="f"/>
          </v:shape>
          <o:OLEObject Type="Embed" ProgID="Excel.Chart.8" ShapeID="_x0000_i1025" DrawAspect="Content" ObjectID="_1491312426" r:id="rId8"/>
        </w:object>
      </w:r>
    </w:p>
    <w:p w:rsidR="002F5DAC" w:rsidRDefault="002F5DAC" w:rsidP="00077C51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CA">
        <w:rPr>
          <w:rFonts w:ascii="Times New Roman" w:hAnsi="Times New Roman"/>
          <w:sz w:val="28"/>
          <w:szCs w:val="28"/>
        </w:rPr>
        <w:t>Исполне</w:t>
      </w:r>
      <w:r>
        <w:rPr>
          <w:rFonts w:ascii="Times New Roman" w:hAnsi="Times New Roman"/>
          <w:sz w:val="28"/>
          <w:szCs w:val="28"/>
        </w:rPr>
        <w:t>ние установленных заданий в 2014 году по налоговым и неналоговым доходам обеспечено на 102,3 процента. В структуре собственных доходов наибольший удельный вес занимают налоговые доходы, на их долю приходится 94,1 % процента, неналоговые доходы составляют  5,9 % собственных доходов бюджета.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«Селиловичское сельское поселение» за 2012 -2014 годы представлена в таблице: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2F5DAC" w:rsidRPr="00ED7B71" w:rsidTr="00ED7B71">
        <w:tc>
          <w:tcPr>
            <w:tcW w:w="2834" w:type="dxa"/>
            <w:vMerge w:val="restart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2F5DAC" w:rsidRPr="00ED7B71" w:rsidTr="00ED7B71">
        <w:tc>
          <w:tcPr>
            <w:tcW w:w="0" w:type="auto"/>
            <w:vMerge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345,5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349,2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1311,2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9" w:type="dxa"/>
            <w:vAlign w:val="center"/>
          </w:tcPr>
          <w:p w:rsidR="002F5DAC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161,5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212,1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F5DAC" w:rsidRPr="00ED7B71" w:rsidTr="00ED7B71">
        <w:tc>
          <w:tcPr>
            <w:tcW w:w="283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348,1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381,9</w:t>
            </w:r>
          </w:p>
        </w:tc>
        <w:tc>
          <w:tcPr>
            <w:tcW w:w="81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1392,5</w:t>
            </w:r>
          </w:p>
        </w:tc>
        <w:tc>
          <w:tcPr>
            <w:tcW w:w="815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основными доходными источниками собственных доходов бюджета муниципального образования «Селиловичское сельское поселение», являются налог на товары (работы, услуги) (37,2%) и земельный налог      (39,0 %). </w:t>
      </w:r>
    </w:p>
    <w:p w:rsidR="002F5DAC" w:rsidRDefault="002F5DA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«Селиловичское сельское поселение».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E04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налоговые доходы в бюджет поступили в сумме   1311,1 тыс. рублей, или 102,4 % уточненного плана. В бюджет  сверх плана поступило   31,6  тыс. рублей налоговых платежей.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товары (работы. услуги) – 39,5 % и земельный налог на  долю приходится  41,1 % налоговых доходов бюджета.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204,3 тыс. рублей, или  110,8 % плана. Темп роста поступления налога к уровню 2013 года составил  126,5 процентов. 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1FB">
        <w:rPr>
          <w:rFonts w:ascii="Times New Roman" w:hAnsi="Times New Roman"/>
          <w:b/>
          <w:sz w:val="28"/>
          <w:szCs w:val="28"/>
        </w:rPr>
        <w:t>Нал</w:t>
      </w:r>
      <w:r>
        <w:rPr>
          <w:rFonts w:ascii="Times New Roman" w:hAnsi="Times New Roman"/>
          <w:b/>
          <w:sz w:val="28"/>
          <w:szCs w:val="28"/>
        </w:rPr>
        <w:t>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 в 2014 году в сумме  518,6 тыс. рублей, или 96,8 % плана. 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/>
          <w:sz w:val="28"/>
          <w:szCs w:val="28"/>
        </w:rPr>
        <w:t>поступил в 2014 году в сумме  44,2 тыс. рублей, или 100,4 % плана. ниже  уровня прошлого года  на  22,6 % процента.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земельный налог поступил в бюджет в сумме  543,0 тыс. рублей, или 100,2 % плана, темп роста к уровню прошлого года –  427,2 %. 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составила 1,0 тыс. рублей, или 100,0 % утвержденного плана, вместе с тем, данный показатель ниже уровня прошлого года на  1,4 тыс. рублей. </w:t>
      </w:r>
    </w:p>
    <w:p w:rsidR="002F5DAC" w:rsidRDefault="002F5DA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«Селиловичское сельское поселение».</w: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 бюджет поступило  81,3 тыс. рублей неналоговых доходов. Уточненный годовой план исполнен на 100,0 процента. К соответствующему периоду прошлого года объем неналоговых поступлений составил 1248,6 процента. В структуре собственных доходов неналоговые доходы составляют 5,9 %, что на  2,7 процентных пункта ниже уровня 2013 года.</w:t>
      </w:r>
    </w:p>
    <w:p w:rsidR="002F5DAC" w:rsidRDefault="002F5DAC" w:rsidP="00317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источником, формирующим неналоговые доходы бюджета в 2014 году, являлись доходы,  получаемые в виде арендной платы за земельные участки.</w: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 были запланированы в доходной части бюджета в объеме   1287,4 тыс. рублей.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Фактический объем поступлений составил  1287,4 тыс. рублей, или 100,0% утвержденного плана. 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2013 года общий объем безвозмездных поступлений уменьшился на  507,2 тыс. рублей, или на  28,3 %, в основном за счет уменьшения   дотаций.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8067" w:dyaOrig="4346">
          <v:shape id="_x0000_i1026" type="#_x0000_t75" style="width:395.25pt;height:217.5pt" o:ole="">
            <v:imagedata r:id="rId9" o:title="" cropbottom="-15f"/>
            <o:lock v:ext="edit" aspectratio="f"/>
          </v:shape>
          <o:OLEObject Type="Embed" ProgID="Excel.Chart.8" ShapeID="_x0000_i1026" DrawAspect="Content" ObjectID="_1491312427" r:id="rId10"/>
        </w:objec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94,5 процента. Утвержденный решением о бюджете объем  исполнен в сумме  1216,0 тыс. рублей, или 100,0% плановых назначений, темп роста к уровню 2013 года (  1676,4 тыс. рублей)  составил  27,5 процента.</w:t>
      </w:r>
    </w:p>
    <w:p w:rsidR="002F5DAC" w:rsidRDefault="002F5DA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196,0 тыс. рублей. К уровню 2013 года ( 427,0  тыс. рублей) поступления снизились на  54,1  процентных пункта.</w:t>
      </w:r>
    </w:p>
    <w:p w:rsidR="002F5DAC" w:rsidRDefault="002F5DAC" w:rsidP="00833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1020,0 тыс. рублей, годовой утвержденный план исполнен на 100,0 процента. К уровню 2013 года ( 1249,4  тыс. рублей)  поступления  снизились  на  81,6  процента.</w:t>
      </w: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5,5 процента. Объем полученных из областного бюджета субвенций в 2014 году составил  71,4 тыс. рублей, или 100,0%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поступления ( 66,5  тыс. рублей ) увеличились на   107,3  процента.</w:t>
      </w:r>
    </w:p>
    <w:p w:rsidR="002F5DAC" w:rsidRDefault="002F5DAC" w:rsidP="009C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C21">
        <w:rPr>
          <w:rFonts w:ascii="Times New Roman" w:hAnsi="Times New Roman"/>
          <w:b/>
          <w:sz w:val="28"/>
          <w:szCs w:val="28"/>
        </w:rPr>
        <w:t>Анализ исполнения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«Селилович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2F5DAC" w:rsidRPr="006C5C21" w:rsidRDefault="002F5DAC" w:rsidP="00803B32">
      <w:pPr>
        <w:pStyle w:val="ListParagraph"/>
        <w:tabs>
          <w:tab w:val="left" w:pos="84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F5DAC" w:rsidRDefault="002F5DA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30.12.2014 № 2-28 расходы утверждены в сумме 2648,0 тыс. рублей, по сравнению с первоначально утвержденными расходами расходы увеличены на 791,6  процента.</w:t>
      </w:r>
    </w:p>
    <w:p w:rsidR="002F5DAC" w:rsidRDefault="002F5DA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2014 году в сумме 2630,7 тыс. рублей, что составляет 99,3 % к уточненным бюджетным ассигнованиям на 2014 год. К уровню 2013 года расходы увеличились  на  434,7 тыс. рублей, или 19,7 процента.</w:t>
      </w: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5DAC" w:rsidRDefault="002F5DA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«Селиловичское сельское поселение» за 2010 – 2014 годы представлена в таблице.</w:t>
      </w: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2F5DAC" w:rsidRPr="00ED7B71" w:rsidTr="00ED7B71">
        <w:tc>
          <w:tcPr>
            <w:tcW w:w="2303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2F5DAC" w:rsidRPr="00ED7B71" w:rsidTr="00ED7B71">
        <w:tc>
          <w:tcPr>
            <w:tcW w:w="230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2630,7</w:t>
            </w: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119,7</w:t>
            </w:r>
          </w:p>
        </w:tc>
      </w:tr>
      <w:tr w:rsidR="002F5DAC" w:rsidRPr="00ED7B71" w:rsidTr="00ED7B71">
        <w:tc>
          <w:tcPr>
            <w:tcW w:w="230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2196,0</w:t>
            </w: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</w:tr>
      <w:tr w:rsidR="002F5DAC" w:rsidRPr="00ED7B71" w:rsidTr="00ED7B71">
        <w:tc>
          <w:tcPr>
            <w:tcW w:w="230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2506,5</w:t>
            </w: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</w:tr>
      <w:tr w:rsidR="002F5DAC" w:rsidRPr="00ED7B71" w:rsidTr="00ED7B71">
        <w:tc>
          <w:tcPr>
            <w:tcW w:w="230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2291,6</w:t>
            </w: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128,7</w:t>
            </w:r>
          </w:p>
        </w:tc>
      </w:tr>
      <w:tr w:rsidR="002F5DAC" w:rsidRPr="00ED7B71" w:rsidTr="00ED7B71">
        <w:tc>
          <w:tcPr>
            <w:tcW w:w="230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1779,5</w:t>
            </w: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</w:tr>
      <w:tr w:rsidR="002F5DAC" w:rsidRPr="00ED7B71" w:rsidTr="00ED7B71">
        <w:tc>
          <w:tcPr>
            <w:tcW w:w="230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2014  году отмечается повышение темпа роста расходной части бюджета на 19,7 процента. В 2013 году  наблюдается значительный спад – 87,6 процента. В  остальных периодах наблюдается повышение расходной части в пределах  от 3,2  до  28,7  процентов к соответствующим уровням.</w:t>
      </w:r>
    </w:p>
    <w:p w:rsidR="002F5DAC" w:rsidRDefault="002F5DAC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«Селиловичское сельское поселение».</w:t>
      </w:r>
    </w:p>
    <w:p w:rsidR="002F5DAC" w:rsidRDefault="002F5DAC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2F5DAC" w:rsidRDefault="002F5DAC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974,7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1100,1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1100,1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112,8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првоохранительная деятельность</w:t>
            </w:r>
          </w:p>
        </w:tc>
        <w:tc>
          <w:tcPr>
            <w:tcW w:w="566" w:type="dxa"/>
          </w:tcPr>
          <w:p w:rsidR="002F5DAC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DAC" w:rsidRPr="00803B32" w:rsidRDefault="002F5DAC" w:rsidP="00803B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203,9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187,3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F5DAC" w:rsidRPr="00ED7B71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7B7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2F5DAC" w:rsidRPr="004F086A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13,7</w:t>
            </w:r>
          </w:p>
        </w:tc>
        <w:tc>
          <w:tcPr>
            <w:tcW w:w="1513" w:type="dxa"/>
            <w:vAlign w:val="center"/>
          </w:tcPr>
          <w:p w:rsidR="002F5DAC" w:rsidRPr="004F086A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45,2</w:t>
            </w:r>
          </w:p>
        </w:tc>
        <w:tc>
          <w:tcPr>
            <w:tcW w:w="1349" w:type="dxa"/>
            <w:vAlign w:val="center"/>
          </w:tcPr>
          <w:p w:rsidR="002F5DAC" w:rsidRPr="004F086A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332" w:type="dxa"/>
            <w:vAlign w:val="center"/>
          </w:tcPr>
          <w:p w:rsidR="002F5DAC" w:rsidRPr="004F086A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98,2</w:t>
            </w:r>
          </w:p>
        </w:tc>
        <w:tc>
          <w:tcPr>
            <w:tcW w:w="1340" w:type="dxa"/>
            <w:vAlign w:val="center"/>
          </w:tcPr>
          <w:p w:rsidR="002F5DAC" w:rsidRPr="004F086A" w:rsidRDefault="002F5D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322,4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08</w:t>
            </w: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1082,7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1206,7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1206,7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</w:t>
            </w:r>
          </w:p>
        </w:tc>
      </w:tr>
      <w:tr w:rsidR="002F5DAC" w:rsidRPr="00ED7B71" w:rsidTr="00077C51">
        <w:tc>
          <w:tcPr>
            <w:tcW w:w="2569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2F5DAC" w:rsidRPr="00ED7B71" w:rsidRDefault="002F5D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2196,0</w:t>
            </w:r>
          </w:p>
        </w:tc>
        <w:tc>
          <w:tcPr>
            <w:tcW w:w="1513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2648,0</w:t>
            </w:r>
          </w:p>
        </w:tc>
        <w:tc>
          <w:tcPr>
            <w:tcW w:w="1349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2630,7</w:t>
            </w:r>
          </w:p>
        </w:tc>
        <w:tc>
          <w:tcPr>
            <w:tcW w:w="1332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99,3</w:t>
            </w:r>
          </w:p>
        </w:tc>
        <w:tc>
          <w:tcPr>
            <w:tcW w:w="1340" w:type="dxa"/>
            <w:vAlign w:val="center"/>
          </w:tcPr>
          <w:p w:rsidR="002F5DAC" w:rsidRPr="00ED7B71" w:rsidRDefault="002F5D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119,7</w:t>
            </w:r>
          </w:p>
        </w:tc>
      </w:tr>
    </w:tbl>
    <w:p w:rsidR="002F5DAC" w:rsidRDefault="002F5DAC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пяти  разделам.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2013 годом отмечается рост расходов бюджета по всем  разделам: 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 12,8 %;</w:t>
      </w:r>
    </w:p>
    <w:p w:rsidR="002F5DAC" w:rsidRDefault="002F5DAC" w:rsidP="00676A0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3,3 %;</w:t>
      </w:r>
    </w:p>
    <w:p w:rsidR="002F5DAC" w:rsidRDefault="002F5DAC" w:rsidP="0098555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«Культура и кинематография» на   11,4 %;</w:t>
      </w:r>
    </w:p>
    <w:p w:rsidR="002F5DAC" w:rsidRDefault="002F5DAC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–  244,3 %.;</w:t>
      </w:r>
    </w:p>
    <w:p w:rsidR="002F5DAC" w:rsidRDefault="002F5DAC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 222,4 %.;</w:t>
      </w:r>
    </w:p>
    <w:p w:rsidR="002F5DAC" w:rsidRDefault="002F5DAC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«Социальная политика» - 29,6 %.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94,8 % в расходах бюджета занимают  три раздела, это «Общегосударственные расходы», «Национальная экономика», «Культура, кинематография».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1100,1 тыс. рублей, или 100,0% от утвержденных сводной бюджетной росписью назначений.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12,8 процента. Доля расходов раздела в общем объеме составила  41,9 %, что на  2,4 процентных пункта ниже показателей прошлого года.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2F5DAC" w:rsidRPr="00ED7B71" w:rsidTr="00ED7B71">
        <w:tc>
          <w:tcPr>
            <w:tcW w:w="248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Процент исполнения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(%)</w:t>
            </w:r>
          </w:p>
        </w:tc>
      </w:tr>
      <w:tr w:rsidR="002F5DAC" w:rsidRPr="00ED7B71" w:rsidTr="00ED7B71">
        <w:tc>
          <w:tcPr>
            <w:tcW w:w="248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974,7</w:t>
            </w:r>
          </w:p>
        </w:tc>
        <w:tc>
          <w:tcPr>
            <w:tcW w:w="159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1100,1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1100,1</w:t>
            </w:r>
          </w:p>
        </w:tc>
        <w:tc>
          <w:tcPr>
            <w:tcW w:w="144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2F5DAC" w:rsidRPr="00ED7B71" w:rsidTr="00ED7B71">
        <w:tc>
          <w:tcPr>
            <w:tcW w:w="248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56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307,2</w:t>
            </w:r>
          </w:p>
        </w:tc>
        <w:tc>
          <w:tcPr>
            <w:tcW w:w="159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</w:t>
            </w:r>
          </w:p>
        </w:tc>
        <w:tc>
          <w:tcPr>
            <w:tcW w:w="144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5DAC" w:rsidRPr="00ED7B71" w:rsidTr="00ED7B71">
        <w:tc>
          <w:tcPr>
            <w:tcW w:w="248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667,5</w:t>
            </w:r>
          </w:p>
        </w:tc>
        <w:tc>
          <w:tcPr>
            <w:tcW w:w="159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720,1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720,1</w:t>
            </w:r>
          </w:p>
        </w:tc>
        <w:tc>
          <w:tcPr>
            <w:tcW w:w="144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5DAC" w:rsidRPr="00ED7B71" w:rsidTr="00ED7B71">
        <w:tc>
          <w:tcPr>
            <w:tcW w:w="248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47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49" w:type="dxa"/>
            <w:vAlign w:val="center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2F5DAC" w:rsidRPr="00B533D0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разделу </w:t>
      </w:r>
      <w:r w:rsidRPr="00B533D0">
        <w:rPr>
          <w:rFonts w:ascii="Times New Roman" w:hAnsi="Times New Roman"/>
          <w:b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«</w:t>
      </w:r>
      <w:r w:rsidRPr="00B533D0">
        <w:rPr>
          <w:rFonts w:ascii="Times New Roman" w:hAnsi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52,3 тыс. рублей, или 100,0% к плану, К уровню 2013 года расходы увеличились на 3,3 процента. </w:t>
      </w:r>
    </w:p>
    <w:p w:rsidR="002F5DAC" w:rsidRDefault="002F5DAC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91,8 % и составили  187,3  тыс. рублей. К уровню 2013 года расходы увеличились на 244,3 процента.</w:t>
      </w:r>
    </w:p>
    <w:p w:rsidR="002F5DAC" w:rsidRDefault="002F5DAC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9001" w:dyaOrig="5132">
          <v:shape id="_x0000_i1027" type="#_x0000_t75" style="width:423pt;height:249pt" o:ole="">
            <v:imagedata r:id="rId11" o:title="" cropbottom="-13f"/>
            <o:lock v:ext="edit" aspectratio="f"/>
          </v:shape>
          <o:OLEObject Type="Embed" ProgID="Excel.Chart.8" ShapeID="_x0000_i1027" DrawAspect="Content" ObjectID="_1491312428" r:id="rId12"/>
        </w:object>
      </w:r>
    </w:p>
    <w:p w:rsidR="002F5DAC" w:rsidRDefault="002F5DAC" w:rsidP="005836B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45,2  тыс. рублей. Исполнение сложилось в сумме   44,5 тыс. рублей, или на  98,2 % плана.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увеличился  на 224,8 %.. В общем объеме бюджета доля расходов по разделу составляет 0,6  процента.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E0A5C">
        <w:rPr>
          <w:rFonts w:ascii="Times New Roman" w:hAnsi="Times New Roman"/>
          <w:b/>
          <w:sz w:val="28"/>
          <w:szCs w:val="28"/>
          <w:lang w:eastAsia="ru-RU"/>
        </w:rPr>
        <w:t>о 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1206,7 тыс. рублей. Исполнены расходы в сумме  1206,7  тыс. рублей, или на 100,0 %, в общем объеме бюджета доля расходов по разделу –  45,8  процента.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 расходов увеличился на  124,0 тыс. рублей, или на  111,4  процента.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учреждению: </w:t>
      </w:r>
    </w:p>
    <w:p w:rsidR="002F5DAC" w:rsidRDefault="002F5DAC" w:rsidP="00415D3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МБУК «Снопотской центр культуры, досуга и библиотечного обслуживания»  – 1203,5  тыс. рублей;</w:t>
      </w:r>
    </w:p>
    <w:p w:rsidR="002F5DAC" w:rsidRDefault="002F5DA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 3,2  тыс. рублей.</w:t>
      </w:r>
    </w:p>
    <w:p w:rsidR="002F5DAC" w:rsidRDefault="002F5DAC" w:rsidP="005836B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разделу 1</w:t>
      </w:r>
      <w:r>
        <w:rPr>
          <w:rFonts w:ascii="Times New Roman" w:hAnsi="Times New Roman"/>
          <w:b/>
          <w:sz w:val="28"/>
          <w:szCs w:val="28"/>
        </w:rPr>
        <w:t>0 «Социальная политика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25,8  тыс. рублей. Исполнение сложилось в сумме   25,8  тыс. рублей, или на  100,0 % плана.</w:t>
      </w:r>
    </w:p>
    <w:p w:rsidR="002F5DAC" w:rsidRDefault="002F5DAC" w:rsidP="005836B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увеличился  на 29,6 %.. В общем объеме бюджета доля расходов по разделу составляет 0,9  процента.</w:t>
      </w:r>
    </w:p>
    <w:p w:rsidR="002F5DAC" w:rsidRDefault="002F5DAC" w:rsidP="005836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DAC" w:rsidRDefault="002F5DAC" w:rsidP="002C44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«Селиловичское сельское поселение» и источники внутреннего финансирования дефицита бюджета.</w:t>
      </w:r>
    </w:p>
    <w:p w:rsidR="002F5DAC" w:rsidRDefault="002F5DAC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2014, бюджет первоначально бюджет был утвержден  бездефицитным.</w:t>
      </w:r>
    </w:p>
    <w:p w:rsidR="002F5DAC" w:rsidRDefault="002F5DAC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0,0 тыс. рублей.</w:t>
      </w:r>
    </w:p>
    <w:p w:rsidR="002F5DAC" w:rsidRDefault="002F5DAC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«Селиловичское сельское поселение», бюджет исполнен с профицитом в сумме  49,2 тыс. рублей.</w:t>
      </w:r>
    </w:p>
    <w:p w:rsidR="002F5DAC" w:rsidRDefault="002F5DAC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2F5DAC" w:rsidRPr="00ED7B71" w:rsidTr="00ED7B71">
        <w:tc>
          <w:tcPr>
            <w:tcW w:w="1667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F5DAC" w:rsidRPr="00ED7B71" w:rsidTr="00ED7B71">
        <w:tc>
          <w:tcPr>
            <w:tcW w:w="1667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2374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5DAC" w:rsidRPr="00ED7B71" w:rsidTr="00ED7B71">
        <w:tc>
          <w:tcPr>
            <w:tcW w:w="1667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-20,6</w:t>
            </w:r>
          </w:p>
        </w:tc>
        <w:tc>
          <w:tcPr>
            <w:tcW w:w="1701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-19,6</w:t>
            </w:r>
          </w:p>
        </w:tc>
        <w:tc>
          <w:tcPr>
            <w:tcW w:w="2374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2F5DAC" w:rsidRPr="00ED7B71" w:rsidTr="00ED7B71">
        <w:tc>
          <w:tcPr>
            <w:tcW w:w="1667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374" w:type="dxa"/>
          </w:tcPr>
          <w:p w:rsidR="002F5DAC" w:rsidRPr="00ED7B71" w:rsidRDefault="002F5DA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F5DAC" w:rsidRDefault="002F5DAC" w:rsidP="00C1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D2538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долг по состоянию  на 01.01.2015 года – отсутствует.</w:t>
      </w: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5DAC" w:rsidRPr="00AC5973" w:rsidRDefault="002F5DAC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Селиловичской сельской администрации от 28.10.2011. года № 2-81.</w:t>
      </w:r>
    </w:p>
    <w:p w:rsidR="002F5DAC" w:rsidRPr="00E549D3" w:rsidRDefault="002F5DAC" w:rsidP="00E549D3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Решением 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3 № 2-159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</w:t>
      </w:r>
      <w:r>
        <w:rPr>
          <w:rFonts w:ascii="Times New Roman" w:hAnsi="Times New Roman"/>
          <w:color w:val="000000"/>
          <w:sz w:val="28"/>
          <w:szCs w:val="28"/>
        </w:rPr>
        <w:t>иципального образования «Селилович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резервного фонда Селилович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3,0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 В течение отчетного периода средства резервного фонда не использовались.</w:t>
      </w:r>
    </w:p>
    <w:p w:rsidR="002F5DAC" w:rsidRDefault="002F5DAC" w:rsidP="00E549D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F5DAC" w:rsidRDefault="002F5DAC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2F5DAC" w:rsidRDefault="002F5DA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2F5DAC" w:rsidRDefault="002F5DA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 46,1 тыс. рублей в результате по состоянию на 1 января 2015 года стоимость основных средств составила  759,9 рублей.</w:t>
      </w:r>
    </w:p>
    <w:p w:rsidR="002F5DAC" w:rsidRDefault="002F5DAC" w:rsidP="0058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Нефинансовые активы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 xml:space="preserve">1 января 2014 года отсутствуют </w:t>
      </w:r>
    </w:p>
    <w:p w:rsidR="002F5DAC" w:rsidRDefault="002F5DAC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Материальные запасы на 1.01.2015 года  отсутствуют.  </w:t>
      </w:r>
    </w:p>
    <w:p w:rsidR="002F5DAC" w:rsidRDefault="002F5DAC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F5DAC" w:rsidRDefault="002F5DAC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2F5DAC" w:rsidRDefault="002F5DAC" w:rsidP="00077C51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F5DAC" w:rsidRDefault="002F5DA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по состоянию  на 01.01.2015 года  отсутствует</w:t>
      </w:r>
    </w:p>
    <w:p w:rsidR="002F5DAC" w:rsidRPr="007210E7" w:rsidRDefault="002F5DAC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на конец о</w:t>
      </w:r>
      <w:r>
        <w:rPr>
          <w:rFonts w:ascii="Times New Roman" w:hAnsi="Times New Roman"/>
          <w:sz w:val="28"/>
          <w:szCs w:val="28"/>
        </w:rPr>
        <w:t xml:space="preserve">тчетного периода </w:t>
      </w:r>
      <w:r w:rsidRPr="007210E7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 xml:space="preserve"> 202,8</w:t>
      </w:r>
      <w:r w:rsidRPr="007210E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 в том числе:</w:t>
      </w:r>
    </w:p>
    <w:p w:rsidR="002F5DAC" w:rsidRPr="00045544" w:rsidRDefault="002F5DAC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1 </w:t>
      </w:r>
      <w:r w:rsidRPr="00045544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 xml:space="preserve">  00  000 </w:t>
      </w:r>
      <w:r w:rsidRPr="000455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140,5 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2F5DAC" w:rsidRDefault="002F5DAC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</w:t>
      </w:r>
      <w:r>
        <w:rPr>
          <w:rFonts w:ascii="Times New Roman" w:hAnsi="Times New Roman"/>
          <w:sz w:val="28"/>
          <w:szCs w:val="28"/>
        </w:rPr>
        <w:t xml:space="preserve">00  000  </w:t>
      </w:r>
      <w:r w:rsidRPr="000455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19,8 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F5DAC" w:rsidRDefault="002F5DAC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1 304 00  000  - 42,5 тыс. рублей.</w:t>
      </w:r>
    </w:p>
    <w:p w:rsidR="002F5DAC" w:rsidRPr="00045544" w:rsidRDefault="002F5DAC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2F5DAC" w:rsidRPr="002C7264" w:rsidRDefault="002F5DAC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2F5DAC" w:rsidRPr="002C7264" w:rsidRDefault="002F5DAC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2F5DAC" w:rsidRPr="002C7264" w:rsidRDefault="002F5DAC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2F5DAC" w:rsidRDefault="002F5DAC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не установлено. </w:t>
      </w:r>
    </w:p>
    <w:p w:rsidR="002F5DAC" w:rsidRPr="002C7264" w:rsidRDefault="002F5DAC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1 бюджетное учреждение:</w:t>
      </w:r>
    </w:p>
    <w:p w:rsidR="002F5DAC" w:rsidRDefault="002F5DAC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«Снопотский центр культуры, досуга и библиотечного обслуживания».</w:t>
      </w: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учреждение, которо</w:t>
      </w:r>
      <w:r w:rsidRPr="002C726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предоставляются субсидии из соотв</w:t>
      </w:r>
      <w:r>
        <w:rPr>
          <w:rFonts w:ascii="Times New Roman" w:hAnsi="Times New Roman"/>
          <w:bCs/>
          <w:sz w:val="28"/>
          <w:szCs w:val="28"/>
        </w:rPr>
        <w:t>етствующего бюджета, представляе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3" w:history="1">
        <w:r w:rsidRPr="002C7264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</w:t>
      </w:r>
      <w:r>
        <w:rPr>
          <w:rFonts w:ascii="Times New Roman" w:hAnsi="Times New Roman"/>
          <w:bCs/>
          <w:sz w:val="28"/>
          <w:szCs w:val="28"/>
        </w:rPr>
        <w:t xml:space="preserve"> России от 25.03.2011 №</w:t>
      </w:r>
      <w:r w:rsidRPr="002C7264">
        <w:rPr>
          <w:rFonts w:ascii="Times New Roman" w:hAnsi="Times New Roman"/>
          <w:bCs/>
          <w:sz w:val="28"/>
          <w:szCs w:val="28"/>
        </w:rPr>
        <w:t xml:space="preserve"> 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7264">
        <w:rPr>
          <w:rFonts w:ascii="Times New Roman" w:hAnsi="Times New Roman"/>
          <w:bCs/>
          <w:sz w:val="28"/>
          <w:szCs w:val="28"/>
        </w:rPr>
        <w:t xml:space="preserve">н (далее - Инструкция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C7264">
        <w:rPr>
          <w:rFonts w:ascii="Times New Roman" w:hAnsi="Times New Roman"/>
          <w:bCs/>
          <w:sz w:val="28"/>
          <w:szCs w:val="28"/>
        </w:rPr>
        <w:t xml:space="preserve"> 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7264">
        <w:rPr>
          <w:rFonts w:ascii="Times New Roman" w:hAnsi="Times New Roman"/>
          <w:bCs/>
          <w:sz w:val="28"/>
          <w:szCs w:val="28"/>
        </w:rPr>
        <w:t xml:space="preserve">н). </w:t>
      </w: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</w:t>
      </w:r>
      <w:r>
        <w:rPr>
          <w:rFonts w:ascii="Times New Roman" w:hAnsi="Times New Roman"/>
          <w:sz w:val="28"/>
          <w:szCs w:val="28"/>
        </w:rPr>
        <w:t>сти» (ф.0503737) подведомственно</w:t>
      </w:r>
      <w:r w:rsidRPr="002C72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учреждению</w:t>
      </w:r>
      <w:r w:rsidRPr="002C7264">
        <w:rPr>
          <w:rFonts w:ascii="Times New Roman" w:hAnsi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/>
          <w:sz w:val="28"/>
          <w:szCs w:val="28"/>
        </w:rPr>
        <w:t xml:space="preserve">в сумме 1203,5 </w:t>
      </w:r>
      <w:r w:rsidRPr="002C726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F5DAC" w:rsidRPr="00270452" w:rsidRDefault="002F5DAC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МБУК «Снопотский центр культуры, досуга и библиотечного обслуживания</w:t>
      </w:r>
      <w:r w:rsidRPr="002C7264">
        <w:rPr>
          <w:rFonts w:ascii="Times New Roman" w:hAnsi="Times New Roman"/>
          <w:bCs/>
          <w:sz w:val="28"/>
          <w:szCs w:val="28"/>
        </w:rPr>
        <w:t>»</w:t>
      </w:r>
      <w:r w:rsidRPr="002C7264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 xml:space="preserve">203,5 тыс. рублей. </w:t>
      </w:r>
      <w:r w:rsidRPr="002C7264">
        <w:rPr>
          <w:rFonts w:ascii="Times New Roman" w:hAnsi="Times New Roman"/>
          <w:sz w:val="28"/>
          <w:szCs w:val="28"/>
        </w:rPr>
        <w:t>Исполнение составило 100,0 % от финансирования.</w:t>
      </w:r>
    </w:p>
    <w:p w:rsidR="002F5DAC" w:rsidRPr="002C7264" w:rsidRDefault="002F5DAC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18,7</w:t>
      </w:r>
      <w:r w:rsidRPr="002C726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исполнение составило 100,0 процентов, или  18,7 тыс. рублей.</w:t>
      </w: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93" w:type="dxa"/>
        <w:tblLook w:val="00A0"/>
      </w:tblPr>
      <w:tblGrid>
        <w:gridCol w:w="3917"/>
        <w:gridCol w:w="1537"/>
        <w:gridCol w:w="1537"/>
        <w:gridCol w:w="1347"/>
        <w:gridCol w:w="942"/>
      </w:tblGrid>
      <w:tr w:rsidR="002F5DAC" w:rsidRPr="00ED7B71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ED7B71" w:rsidRDefault="002F5DA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2F5DAC" w:rsidRPr="002C7264" w:rsidRDefault="002F5DA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ED7B71" w:rsidRDefault="002F5DA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 2014</w:t>
            </w:r>
          </w:p>
          <w:p w:rsidR="002F5DAC" w:rsidRPr="002C7264" w:rsidRDefault="002F5DA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ED7B71" w:rsidRDefault="002F5DA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Уд. вес,  2014</w:t>
            </w:r>
          </w:p>
          <w:p w:rsidR="002F5DAC" w:rsidRPr="002C7264" w:rsidRDefault="002F5DA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ED7B71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F5DAC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F5DAC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F5DAC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1203,5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2F5DAC" w:rsidRDefault="002F5DAC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78,8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/>
          <w:sz w:val="28"/>
          <w:szCs w:val="28"/>
        </w:rPr>
        <w:t xml:space="preserve"> К уровню 2013 года расходы по оплате труда с начислениями увеличились на  114,0 тыс. рублей, или  18,5 процента.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 поступлениях, предоставление  которых</w:t>
      </w:r>
      <w:r>
        <w:rPr>
          <w:rFonts w:ascii="Times New Roman" w:hAnsi="Times New Roman"/>
          <w:sz w:val="28"/>
          <w:szCs w:val="28"/>
        </w:rPr>
        <w:t>,</w:t>
      </w:r>
      <w:r w:rsidRPr="002C7264">
        <w:rPr>
          <w:rFonts w:ascii="Times New Roman" w:hAnsi="Times New Roman"/>
          <w:sz w:val="28"/>
          <w:szCs w:val="28"/>
        </w:rPr>
        <w:t xml:space="preserve"> осуществляется на платной основе в 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Ind w:w="93" w:type="dxa"/>
        <w:tblLook w:val="00A0"/>
      </w:tblPr>
      <w:tblGrid>
        <w:gridCol w:w="2945"/>
        <w:gridCol w:w="1863"/>
        <w:gridCol w:w="1704"/>
        <w:gridCol w:w="1925"/>
        <w:gridCol w:w="992"/>
      </w:tblGrid>
      <w:tr w:rsidR="002F5DAC" w:rsidRPr="00ED7B71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ED7B71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2F5DAC" w:rsidRPr="002C7264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ED7B71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2F5DAC" w:rsidRPr="002C7264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ED7B71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2014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DAC" w:rsidRPr="002C7264" w:rsidRDefault="002F5DA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F5DAC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0C3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F5DAC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2F5DAC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2F5DAC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</w:tr>
      <w:tr w:rsidR="002F5DAC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2F5DAC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  <w:tr w:rsidR="002F5DAC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AC" w:rsidRPr="002C7264" w:rsidRDefault="002F5DA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DAC" w:rsidRPr="002C7264" w:rsidRDefault="002F5DA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2F5DAC" w:rsidRDefault="002F5DAC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5DAC" w:rsidRDefault="002F5DAC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Анализируя показатели т</w:t>
      </w:r>
      <w:r>
        <w:rPr>
          <w:rFonts w:ascii="Times New Roman" w:hAnsi="Times New Roman"/>
          <w:sz w:val="28"/>
          <w:szCs w:val="28"/>
        </w:rPr>
        <w:t>аблицы, следует отметить, что  42,2</w:t>
      </w:r>
      <w:r w:rsidRPr="002C7264">
        <w:rPr>
          <w:rFonts w:ascii="Times New Roman" w:hAnsi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>
        <w:rPr>
          <w:rFonts w:ascii="Times New Roman" w:hAnsi="Times New Roman"/>
          <w:sz w:val="28"/>
          <w:szCs w:val="28"/>
        </w:rPr>
        <w:t>прочие расходы или  7,9  тыс.рублей, что на  88,0 % выше уровня прошлого года.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Селиловичской сельской администрации утвержден отчет об исполнении муниципального задания на предоставление муниципальной услуги (выполнение работ) учреждению культуры, проведено контрольное мероприятие по проверке исполнения муниципального задания.</w:t>
      </w:r>
    </w:p>
    <w:p w:rsidR="002F5DAC" w:rsidRPr="002C7264" w:rsidRDefault="002F5DAC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Кред</w:t>
      </w:r>
      <w:r w:rsidRPr="002C7264">
        <w:rPr>
          <w:rFonts w:ascii="Times New Roman" w:hAnsi="Times New Roman"/>
          <w:sz w:val="28"/>
          <w:szCs w:val="28"/>
        </w:rPr>
        <w:t>иторская задолженност</w:t>
      </w:r>
      <w:r>
        <w:rPr>
          <w:rFonts w:ascii="Times New Roman" w:hAnsi="Times New Roman"/>
          <w:sz w:val="28"/>
          <w:szCs w:val="28"/>
        </w:rPr>
        <w:t xml:space="preserve">ь на  конец </w:t>
      </w:r>
      <w:r w:rsidRPr="002C7264">
        <w:rPr>
          <w:rFonts w:ascii="Times New Roman" w:hAnsi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/>
          <w:sz w:val="28"/>
          <w:szCs w:val="28"/>
        </w:rPr>
        <w:t>по собственным доходам по счету 2 303 составляет – 0,7 тыс. рублей, переплата по земельному налогу.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года 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субсидиям на выполнение муниципального задания </w:t>
      </w:r>
      <w:r w:rsidRPr="002C7264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 xml:space="preserve"> 82,9</w:t>
      </w:r>
      <w:r w:rsidRPr="002C7264">
        <w:rPr>
          <w:rFonts w:ascii="Times New Roman" w:hAnsi="Times New Roman"/>
          <w:sz w:val="28"/>
          <w:szCs w:val="28"/>
        </w:rPr>
        <w:t xml:space="preserve">  тыс. рублей, </w:t>
      </w:r>
      <w:r>
        <w:rPr>
          <w:rFonts w:ascii="Times New Roman" w:hAnsi="Times New Roman"/>
          <w:sz w:val="28"/>
          <w:szCs w:val="28"/>
        </w:rPr>
        <w:t xml:space="preserve">к уровню 2013 года снижение составило  72,4 тыс. рублей, или на  46,7  процента, </w:t>
      </w:r>
      <w:r w:rsidRPr="002C7264">
        <w:rPr>
          <w:rFonts w:ascii="Times New Roman" w:hAnsi="Times New Roman"/>
          <w:sz w:val="28"/>
          <w:szCs w:val="28"/>
        </w:rPr>
        <w:t xml:space="preserve">в том числе 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4 302 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2C726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12,7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4 303 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2C726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23,1 </w:t>
      </w:r>
      <w:r w:rsidRPr="002C7264">
        <w:rPr>
          <w:rFonts w:ascii="Times New Roman" w:hAnsi="Times New Roman"/>
          <w:sz w:val="28"/>
          <w:szCs w:val="28"/>
        </w:rPr>
        <w:t>тыс. рублей,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2C7264">
        <w:rPr>
          <w:rFonts w:ascii="Times New Roman" w:hAnsi="Times New Roman"/>
          <w:sz w:val="28"/>
          <w:szCs w:val="28"/>
        </w:rPr>
        <w:t xml:space="preserve">4 304 </w:t>
      </w:r>
      <w:r>
        <w:rPr>
          <w:rFonts w:ascii="Times New Roman" w:hAnsi="Times New Roman"/>
          <w:sz w:val="28"/>
          <w:szCs w:val="28"/>
        </w:rPr>
        <w:t xml:space="preserve"> 000 </w:t>
      </w:r>
      <w:r w:rsidRPr="002C726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47,1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2F5DAC" w:rsidRDefault="002F5DA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2F5DAC" w:rsidRPr="002C7264" w:rsidRDefault="002F5DA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2F5DAC" w:rsidRDefault="002F5DA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Проанализировав отчет об исполнении бюджета за 2014 год Контрольно-счётная палата Рогнединского района предлагает Селиловичскому сельскому Совету народных депутатов рассмотреть проект решения об исполнении бюджета муниципального образования «Селиловичское сельское поселение» за 2014 год.</w:t>
      </w:r>
    </w:p>
    <w:p w:rsidR="002F5DAC" w:rsidRDefault="002F5DAC" w:rsidP="00077C51">
      <w:pPr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rPr>
          <w:rFonts w:ascii="Times New Roman" w:hAnsi="Times New Roman"/>
          <w:sz w:val="28"/>
          <w:szCs w:val="28"/>
        </w:rPr>
      </w:pPr>
    </w:p>
    <w:p w:rsidR="002F5DAC" w:rsidRDefault="002F5DAC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F5DAC" w:rsidRDefault="002F5DAC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Семкин</w:t>
      </w:r>
    </w:p>
    <w:p w:rsidR="002F5DAC" w:rsidRDefault="002F5DAC"/>
    <w:sectPr w:rsidR="002F5DAC" w:rsidSect="00A70624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AC" w:rsidRDefault="002F5DAC" w:rsidP="00A70624">
      <w:pPr>
        <w:spacing w:after="0" w:line="240" w:lineRule="auto"/>
      </w:pPr>
      <w:r>
        <w:separator/>
      </w:r>
    </w:p>
  </w:endnote>
  <w:endnote w:type="continuationSeparator" w:id="1">
    <w:p w:rsidR="002F5DAC" w:rsidRDefault="002F5DAC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AC" w:rsidRDefault="002F5DAC" w:rsidP="00A70624">
      <w:pPr>
        <w:spacing w:after="0" w:line="240" w:lineRule="auto"/>
      </w:pPr>
      <w:r>
        <w:separator/>
      </w:r>
    </w:p>
  </w:footnote>
  <w:footnote w:type="continuationSeparator" w:id="1">
    <w:p w:rsidR="002F5DAC" w:rsidRDefault="002F5DAC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AC" w:rsidRDefault="002F5DAC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2F5DAC" w:rsidRDefault="002F5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1042B"/>
    <w:rsid w:val="00011AA9"/>
    <w:rsid w:val="00016409"/>
    <w:rsid w:val="00030E29"/>
    <w:rsid w:val="000333D2"/>
    <w:rsid w:val="00045544"/>
    <w:rsid w:val="00064D5A"/>
    <w:rsid w:val="00072D0A"/>
    <w:rsid w:val="00077C51"/>
    <w:rsid w:val="00081AB0"/>
    <w:rsid w:val="0008258A"/>
    <w:rsid w:val="00091389"/>
    <w:rsid w:val="000A10BB"/>
    <w:rsid w:val="000A36AB"/>
    <w:rsid w:val="000A6E8B"/>
    <w:rsid w:val="000A7888"/>
    <w:rsid w:val="000A7D39"/>
    <w:rsid w:val="000A7EC5"/>
    <w:rsid w:val="000C349B"/>
    <w:rsid w:val="000C54FA"/>
    <w:rsid w:val="000C5C77"/>
    <w:rsid w:val="000C6992"/>
    <w:rsid w:val="000D515B"/>
    <w:rsid w:val="000E288F"/>
    <w:rsid w:val="00102CE0"/>
    <w:rsid w:val="00125584"/>
    <w:rsid w:val="00125E9D"/>
    <w:rsid w:val="00136A3F"/>
    <w:rsid w:val="0013784E"/>
    <w:rsid w:val="00143961"/>
    <w:rsid w:val="00146E6C"/>
    <w:rsid w:val="00166F30"/>
    <w:rsid w:val="001729B1"/>
    <w:rsid w:val="00173EB2"/>
    <w:rsid w:val="001970F8"/>
    <w:rsid w:val="00197276"/>
    <w:rsid w:val="001A0156"/>
    <w:rsid w:val="001A198B"/>
    <w:rsid w:val="001B097D"/>
    <w:rsid w:val="001B3D9E"/>
    <w:rsid w:val="001D33AE"/>
    <w:rsid w:val="001F03D4"/>
    <w:rsid w:val="001F7B4E"/>
    <w:rsid w:val="0022707C"/>
    <w:rsid w:val="00236E76"/>
    <w:rsid w:val="0024095F"/>
    <w:rsid w:val="00242AAA"/>
    <w:rsid w:val="002474BC"/>
    <w:rsid w:val="002502AC"/>
    <w:rsid w:val="00251054"/>
    <w:rsid w:val="00266C4F"/>
    <w:rsid w:val="00266D5E"/>
    <w:rsid w:val="00270452"/>
    <w:rsid w:val="00276D60"/>
    <w:rsid w:val="00280D0D"/>
    <w:rsid w:val="00284B34"/>
    <w:rsid w:val="002B0A5C"/>
    <w:rsid w:val="002B3624"/>
    <w:rsid w:val="002B3A4E"/>
    <w:rsid w:val="002C40C9"/>
    <w:rsid w:val="002C44A5"/>
    <w:rsid w:val="002C7264"/>
    <w:rsid w:val="002C7E25"/>
    <w:rsid w:val="002D39AD"/>
    <w:rsid w:val="002E0E9A"/>
    <w:rsid w:val="002E2D55"/>
    <w:rsid w:val="002E7DD2"/>
    <w:rsid w:val="002F0ECC"/>
    <w:rsid w:val="002F5DAC"/>
    <w:rsid w:val="002F5E0E"/>
    <w:rsid w:val="003023D5"/>
    <w:rsid w:val="00302D8D"/>
    <w:rsid w:val="00311D65"/>
    <w:rsid w:val="00311F43"/>
    <w:rsid w:val="00312EF0"/>
    <w:rsid w:val="00316CCD"/>
    <w:rsid w:val="003173D7"/>
    <w:rsid w:val="00326ACB"/>
    <w:rsid w:val="00335422"/>
    <w:rsid w:val="00343BE3"/>
    <w:rsid w:val="00353EBF"/>
    <w:rsid w:val="00360081"/>
    <w:rsid w:val="0037186A"/>
    <w:rsid w:val="00394467"/>
    <w:rsid w:val="00397480"/>
    <w:rsid w:val="003A3C34"/>
    <w:rsid w:val="003A646C"/>
    <w:rsid w:val="003A7882"/>
    <w:rsid w:val="003C2926"/>
    <w:rsid w:val="003D5DA7"/>
    <w:rsid w:val="003E0003"/>
    <w:rsid w:val="003F34D9"/>
    <w:rsid w:val="003F6EEF"/>
    <w:rsid w:val="0040039F"/>
    <w:rsid w:val="00415D36"/>
    <w:rsid w:val="00415EDC"/>
    <w:rsid w:val="00425391"/>
    <w:rsid w:val="004312CF"/>
    <w:rsid w:val="00442439"/>
    <w:rsid w:val="00462325"/>
    <w:rsid w:val="00466EDF"/>
    <w:rsid w:val="004676F3"/>
    <w:rsid w:val="00474803"/>
    <w:rsid w:val="004862D8"/>
    <w:rsid w:val="00490444"/>
    <w:rsid w:val="00493B9D"/>
    <w:rsid w:val="00494FF1"/>
    <w:rsid w:val="004A0272"/>
    <w:rsid w:val="004B61B7"/>
    <w:rsid w:val="004C1061"/>
    <w:rsid w:val="004C36AD"/>
    <w:rsid w:val="004C7E2D"/>
    <w:rsid w:val="004D389E"/>
    <w:rsid w:val="004D66E3"/>
    <w:rsid w:val="004F086A"/>
    <w:rsid w:val="004F7426"/>
    <w:rsid w:val="00501990"/>
    <w:rsid w:val="00512799"/>
    <w:rsid w:val="00527A6C"/>
    <w:rsid w:val="00536A45"/>
    <w:rsid w:val="00555AC0"/>
    <w:rsid w:val="00555DEF"/>
    <w:rsid w:val="00560201"/>
    <w:rsid w:val="005624EF"/>
    <w:rsid w:val="00572497"/>
    <w:rsid w:val="00582AEE"/>
    <w:rsid w:val="00583293"/>
    <w:rsid w:val="005836BE"/>
    <w:rsid w:val="00586718"/>
    <w:rsid w:val="00586E6E"/>
    <w:rsid w:val="0059169A"/>
    <w:rsid w:val="00594884"/>
    <w:rsid w:val="005B36D2"/>
    <w:rsid w:val="005C0347"/>
    <w:rsid w:val="005C31BC"/>
    <w:rsid w:val="005D0010"/>
    <w:rsid w:val="005D39FB"/>
    <w:rsid w:val="005D60E7"/>
    <w:rsid w:val="005D6A94"/>
    <w:rsid w:val="005E7CA0"/>
    <w:rsid w:val="00635D04"/>
    <w:rsid w:val="00636158"/>
    <w:rsid w:val="006362FD"/>
    <w:rsid w:val="00651C5A"/>
    <w:rsid w:val="006539E5"/>
    <w:rsid w:val="00653C0D"/>
    <w:rsid w:val="00655527"/>
    <w:rsid w:val="00676636"/>
    <w:rsid w:val="00676A01"/>
    <w:rsid w:val="00684164"/>
    <w:rsid w:val="00692968"/>
    <w:rsid w:val="006A1458"/>
    <w:rsid w:val="006A2B94"/>
    <w:rsid w:val="006C487A"/>
    <w:rsid w:val="006C5C21"/>
    <w:rsid w:val="006D479B"/>
    <w:rsid w:val="006E0947"/>
    <w:rsid w:val="00704FB8"/>
    <w:rsid w:val="00712696"/>
    <w:rsid w:val="00712B95"/>
    <w:rsid w:val="007210E7"/>
    <w:rsid w:val="007310E8"/>
    <w:rsid w:val="00733825"/>
    <w:rsid w:val="00733911"/>
    <w:rsid w:val="00734817"/>
    <w:rsid w:val="00735BF0"/>
    <w:rsid w:val="00736857"/>
    <w:rsid w:val="007652D9"/>
    <w:rsid w:val="00765C6C"/>
    <w:rsid w:val="00767CA2"/>
    <w:rsid w:val="00773963"/>
    <w:rsid w:val="0078070A"/>
    <w:rsid w:val="0078509B"/>
    <w:rsid w:val="007863B6"/>
    <w:rsid w:val="00790646"/>
    <w:rsid w:val="00791334"/>
    <w:rsid w:val="00791EF0"/>
    <w:rsid w:val="007A371F"/>
    <w:rsid w:val="007A521F"/>
    <w:rsid w:val="007C0726"/>
    <w:rsid w:val="007D1D9A"/>
    <w:rsid w:val="007D468D"/>
    <w:rsid w:val="007E1F76"/>
    <w:rsid w:val="007F678B"/>
    <w:rsid w:val="008024F6"/>
    <w:rsid w:val="00803B32"/>
    <w:rsid w:val="00821FF6"/>
    <w:rsid w:val="008242B1"/>
    <w:rsid w:val="00830637"/>
    <w:rsid w:val="00833076"/>
    <w:rsid w:val="00837308"/>
    <w:rsid w:val="00844921"/>
    <w:rsid w:val="00856750"/>
    <w:rsid w:val="008660FD"/>
    <w:rsid w:val="00873FAE"/>
    <w:rsid w:val="00875224"/>
    <w:rsid w:val="00896A79"/>
    <w:rsid w:val="008A3B02"/>
    <w:rsid w:val="008B65D6"/>
    <w:rsid w:val="008C3577"/>
    <w:rsid w:val="008D67B4"/>
    <w:rsid w:val="008E0F5A"/>
    <w:rsid w:val="008E406C"/>
    <w:rsid w:val="008E6B7F"/>
    <w:rsid w:val="008E77A8"/>
    <w:rsid w:val="008F2384"/>
    <w:rsid w:val="00904B2B"/>
    <w:rsid w:val="00904F4B"/>
    <w:rsid w:val="0091095A"/>
    <w:rsid w:val="00912781"/>
    <w:rsid w:val="00922DE7"/>
    <w:rsid w:val="009436BD"/>
    <w:rsid w:val="009467D1"/>
    <w:rsid w:val="009519FB"/>
    <w:rsid w:val="00953D8D"/>
    <w:rsid w:val="0095480D"/>
    <w:rsid w:val="00956B8C"/>
    <w:rsid w:val="009672F1"/>
    <w:rsid w:val="00974036"/>
    <w:rsid w:val="009830F1"/>
    <w:rsid w:val="00985550"/>
    <w:rsid w:val="00985D26"/>
    <w:rsid w:val="009951FB"/>
    <w:rsid w:val="009A048E"/>
    <w:rsid w:val="009A2751"/>
    <w:rsid w:val="009A784F"/>
    <w:rsid w:val="009C04FF"/>
    <w:rsid w:val="009D7331"/>
    <w:rsid w:val="009E7C5B"/>
    <w:rsid w:val="00A12A55"/>
    <w:rsid w:val="00A27A27"/>
    <w:rsid w:val="00A4023B"/>
    <w:rsid w:val="00A44EFA"/>
    <w:rsid w:val="00A67192"/>
    <w:rsid w:val="00A705D7"/>
    <w:rsid w:val="00A70624"/>
    <w:rsid w:val="00A72EA1"/>
    <w:rsid w:val="00A81976"/>
    <w:rsid w:val="00AA47FC"/>
    <w:rsid w:val="00AB3999"/>
    <w:rsid w:val="00AC42FF"/>
    <w:rsid w:val="00AC5973"/>
    <w:rsid w:val="00AD3C75"/>
    <w:rsid w:val="00AF273F"/>
    <w:rsid w:val="00AF5C43"/>
    <w:rsid w:val="00B019F4"/>
    <w:rsid w:val="00B01B0D"/>
    <w:rsid w:val="00B11AF1"/>
    <w:rsid w:val="00B1446C"/>
    <w:rsid w:val="00B2360F"/>
    <w:rsid w:val="00B23D4D"/>
    <w:rsid w:val="00B27091"/>
    <w:rsid w:val="00B41801"/>
    <w:rsid w:val="00B42C09"/>
    <w:rsid w:val="00B44369"/>
    <w:rsid w:val="00B446EB"/>
    <w:rsid w:val="00B533D0"/>
    <w:rsid w:val="00B54E12"/>
    <w:rsid w:val="00B57423"/>
    <w:rsid w:val="00B87E53"/>
    <w:rsid w:val="00B92789"/>
    <w:rsid w:val="00B9296E"/>
    <w:rsid w:val="00BA3C16"/>
    <w:rsid w:val="00BB7392"/>
    <w:rsid w:val="00BC5663"/>
    <w:rsid w:val="00BD4FDC"/>
    <w:rsid w:val="00BD56B9"/>
    <w:rsid w:val="00BE6459"/>
    <w:rsid w:val="00BE72A2"/>
    <w:rsid w:val="00BE73C2"/>
    <w:rsid w:val="00BF0382"/>
    <w:rsid w:val="00C044AF"/>
    <w:rsid w:val="00C1058C"/>
    <w:rsid w:val="00C1280A"/>
    <w:rsid w:val="00C1461F"/>
    <w:rsid w:val="00C210DC"/>
    <w:rsid w:val="00C25337"/>
    <w:rsid w:val="00C31AF5"/>
    <w:rsid w:val="00C320DE"/>
    <w:rsid w:val="00C331E9"/>
    <w:rsid w:val="00C51873"/>
    <w:rsid w:val="00C551AC"/>
    <w:rsid w:val="00C66151"/>
    <w:rsid w:val="00CA2040"/>
    <w:rsid w:val="00CA7957"/>
    <w:rsid w:val="00CD5AB2"/>
    <w:rsid w:val="00CD6C08"/>
    <w:rsid w:val="00CF5DB5"/>
    <w:rsid w:val="00D05862"/>
    <w:rsid w:val="00D072A8"/>
    <w:rsid w:val="00D133B0"/>
    <w:rsid w:val="00D166F7"/>
    <w:rsid w:val="00D16910"/>
    <w:rsid w:val="00D204AE"/>
    <w:rsid w:val="00D25388"/>
    <w:rsid w:val="00D35D8F"/>
    <w:rsid w:val="00D530C1"/>
    <w:rsid w:val="00D537C3"/>
    <w:rsid w:val="00D7469F"/>
    <w:rsid w:val="00D83C42"/>
    <w:rsid w:val="00D90828"/>
    <w:rsid w:val="00DA1631"/>
    <w:rsid w:val="00DC332B"/>
    <w:rsid w:val="00DD54DC"/>
    <w:rsid w:val="00DE0E1A"/>
    <w:rsid w:val="00DF6505"/>
    <w:rsid w:val="00E0333D"/>
    <w:rsid w:val="00E04657"/>
    <w:rsid w:val="00E053E9"/>
    <w:rsid w:val="00E16CCA"/>
    <w:rsid w:val="00E2557D"/>
    <w:rsid w:val="00E47D04"/>
    <w:rsid w:val="00E51EAB"/>
    <w:rsid w:val="00E544DF"/>
    <w:rsid w:val="00E549D3"/>
    <w:rsid w:val="00E56635"/>
    <w:rsid w:val="00E663CF"/>
    <w:rsid w:val="00EA7B2C"/>
    <w:rsid w:val="00ED7B71"/>
    <w:rsid w:val="00EE0A5C"/>
    <w:rsid w:val="00EE1913"/>
    <w:rsid w:val="00EE3336"/>
    <w:rsid w:val="00F0388C"/>
    <w:rsid w:val="00F27C7F"/>
    <w:rsid w:val="00F33BC0"/>
    <w:rsid w:val="00F3510F"/>
    <w:rsid w:val="00F36BB2"/>
    <w:rsid w:val="00F40736"/>
    <w:rsid w:val="00F507AC"/>
    <w:rsid w:val="00F52EF0"/>
    <w:rsid w:val="00F53311"/>
    <w:rsid w:val="00F555C9"/>
    <w:rsid w:val="00F55783"/>
    <w:rsid w:val="00F5699D"/>
    <w:rsid w:val="00F671E4"/>
    <w:rsid w:val="00F805EA"/>
    <w:rsid w:val="00F836C9"/>
    <w:rsid w:val="00F868FE"/>
    <w:rsid w:val="00F95A0F"/>
    <w:rsid w:val="00FA3E92"/>
    <w:rsid w:val="00FA71FB"/>
    <w:rsid w:val="00FB3715"/>
    <w:rsid w:val="00FC6446"/>
    <w:rsid w:val="00FD314F"/>
    <w:rsid w:val="00FD51CA"/>
    <w:rsid w:val="00FD659F"/>
    <w:rsid w:val="00FE1182"/>
    <w:rsid w:val="00FF41A9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35D0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3337</TotalTime>
  <Pages>15</Pages>
  <Words>3896</Words>
  <Characters>22210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2015-02-26T11:10:00Z</cp:lastPrinted>
  <dcterms:created xsi:type="dcterms:W3CDTF">2015-01-14T11:45:00Z</dcterms:created>
  <dcterms:modified xsi:type="dcterms:W3CDTF">2015-04-23T12:41:00Z</dcterms:modified>
</cp:coreProperties>
</file>